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480"/>
        <w:rPr>
          <w:lang w:eastAsia="ko-KR"/>
          <w:rFonts w:ascii="맑은 고딕" w:hAnsi="맑은 고딕" w:hint="eastAsia"/>
          <w:b/>
          <w:color w:val="102C57"/>
          <w:sz w:val="40"/>
          <w:rtl w:val="off"/>
        </w:rPr>
      </w:pPr>
      <w:r>
        <w:rPr>
          <w:rFonts w:ascii="맑은 고딕" w:hAnsi="맑은 고딕"/>
          <w:b/>
          <w:color w:val="102C57"/>
          <w:sz w:val="40"/>
        </w:rPr>
        <w:t xml:space="preserve">영농형 태양광 활성화 및 지원에 관한 법률안 </w:t>
      </w:r>
    </w:p>
    <w:p>
      <w:pPr>
        <w:jc w:val="center"/>
        <w:spacing w:after="480"/>
      </w:pPr>
      <w:r>
        <w:rPr>
          <w:rFonts w:ascii="맑은 고딕" w:hAnsi="맑은 고딕"/>
          <w:b/>
          <w:color w:val="102C57"/>
          <w:sz w:val="40"/>
        </w:rPr>
        <w:t>국회 통과 보고서</w:t>
      </w:r>
    </w:p>
    <w:p>
      <w:pPr>
        <w:jc w:val="right"/>
        <w:spacing w:after="360"/>
      </w:pPr>
    </w:p>
    <w:p>
      <w:pPr>
        <w:spacing w:after="120" w:before="240"/>
      </w:pPr>
      <w:r>
        <w:rPr>
          <w:rFonts w:ascii="맑은 고딕" w:hAnsi="맑은 고딕"/>
          <w:b/>
          <w:color w:val="102C57"/>
          <w:sz w:val="28"/>
        </w:rPr>
        <w:t>1. 국회 통과 일정 및 시행령 팩트 체크</w:t>
      </w:r>
    </w:p>
    <w:p>
      <w:pPr>
        <w:spacing w:line="312" w:lineRule="auto"/>
      </w:pPr>
      <w:r>
        <w:rPr>
          <w:b/>
        </w:rPr>
        <w:t xml:space="preserve">• 국회 본회의 최종 통과 시점: </w:t>
      </w:r>
      <w:r>
        <w:t xml:space="preserve">해당 법안과 농지법 개정안은 </w:t>
      </w:r>
      <w:r>
        <w:rPr>
          <w:b/>
          <w:color w:val="D32F2F"/>
        </w:rPr>
        <w:t>2026년 5월 7일</w:t>
      </w:r>
      <w:r>
        <w:t xml:space="preserve"> 국회 본회의를 최종 통과하였습니다. 어제(6월 16일) 공포된 것이 아니라, 5월 국회 통과 후 정부 이송 및 국무회의 의결 절차를 거쳐 공식 발효를 준비하고 있는 단계입니다.</w:t>
      </w:r>
      <w:r>
        <w:br/>
      </w:r>
      <w:r>
        <w:t xml:space="preserve">• 법률안 정식 시행일: </w:t>
      </w:r>
      <w:r>
        <w:t xml:space="preserve">본 법안은 국회 통과 후 국무회의 의결을 거쳐 공포된 날로부터 </w:t>
      </w:r>
      <w:r>
        <w:rPr>
          <w:b/>
        </w:rPr>
        <w:t>6개월이 경과한 시점(2026년 11월 말)</w:t>
      </w:r>
      <w:r>
        <w:t>부터 정식 시행됩니다. 이에 따라 농림축산식품부는 현재 세부 가이드라인인 하위 시행령 및 시행규칙 제정 작업을 진행 중입니다.</w:t>
      </w:r>
    </w:p>
    <w:p>
      <w:pPr>
        <w:spacing w:after="120" w:before="360"/>
      </w:pPr>
      <w:r>
        <w:rPr>
          <w:rFonts w:ascii="맑은 고딕" w:hAnsi="맑은 고딕"/>
          <w:b/>
          <w:color w:val="102C57"/>
          <w:sz w:val="28"/>
        </w:rPr>
        <w:t>2. 농식품부 주도 특별법안 및 농지법 개정안 주요 핵심 내용</w:t>
      </w:r>
    </w:p>
    <w:p>
      <w:pPr>
        <w:ind w:left="288"/>
        <w:spacing w:after="120" w:line="312" w:lineRule="auto"/>
      </w:pPr>
      <w:r>
        <w:rPr>
          <w:b/>
          <w:color w:val="3572EF"/>
          <w:sz w:val="22"/>
        </w:rPr>
        <w:t>■ 사업 주체의 엄격한 제한 (외지인 투기 및 자본 이탈 차단)</w:t>
      </w:r>
      <w:r>
        <w:rPr>
          <w:b/>
          <w:color w:val="3572EF"/>
          <w:sz w:val="22"/>
        </w:rPr>
        <w:br/>
      </w:r>
      <w:r>
        <w:rPr>
          <w:sz w:val="20"/>
        </w:rPr>
        <w:t>기존 농촌 태양광의 고질적 문제인 외지 자본 난개발을 막기 위해 발전사업 자격을 엄격하게 규정했습니다.</w:t>
      </w:r>
      <w:r>
        <w:rPr>
          <w:sz w:val="20"/>
        </w:rPr>
        <w:br/>
      </w:r>
      <w:r>
        <w:rPr>
          <w:sz w:val="20"/>
        </w:rPr>
        <w:t>- 개인 농민: 발전설비 소재지 또는 연접 읍·면·동에 거주하며 최소 3년 이상 실제 농업경영(실경작)을 증명한 자.</w:t>
      </w:r>
      <w:r>
        <w:rPr>
          <w:sz w:val="20"/>
        </w:rPr>
        <w:br/>
      </w:r>
      <w:r>
        <w:rPr>
          <w:sz w:val="20"/>
        </w:rPr>
        <w:t>- 주민참여협동조합: 소재지 주민 10인 이상이 참여한 조합(정부 주도 '햇빛소득마을' 사업의 근거).</w:t>
      </w:r>
      <w:r>
        <w:rPr>
          <w:sz w:val="20"/>
        </w:rPr>
        <w:br/>
      </w:r>
      <w:r>
        <w:rPr>
          <w:sz w:val="20"/>
        </w:rPr>
        <w:t>- 농업법인: 일반 농지 참여는 제한되나, '재생에너지지구' 내에서는 예외적으로 허용.</w:t>
      </w:r>
    </w:p>
    <w:p>
      <w:pPr>
        <w:ind w:left="288"/>
        <w:spacing w:after="120" w:line="312" w:lineRule="auto"/>
      </w:pPr>
      <w:r>
        <w:rPr>
          <w:b/>
          <w:color w:val="3572EF"/>
          <w:sz w:val="22"/>
        </w:rPr>
        <w:t>■ 농지 허용 기준의 차등화 (식량안보 보호 조항 부합)</w:t>
      </w:r>
      <w:r>
        <w:rPr>
          <w:b/>
          <w:color w:val="3572EF"/>
          <w:sz w:val="22"/>
        </w:rPr>
        <w:br/>
      </w:r>
      <w:r>
        <w:rPr>
          <w:sz w:val="20"/>
        </w:rPr>
        <w:t>우량농지 보호와 재생에너지 확보의 균형을 위해 농지 종류별로 차등 적용합니다.</w:t>
      </w:r>
      <w:r>
        <w:rPr>
          <w:sz w:val="20"/>
        </w:rPr>
        <w:br/>
      </w:r>
      <w:r>
        <w:rPr>
          <w:sz w:val="20"/>
        </w:rPr>
        <w:t>- 농업진흥지역 외(일반 농지): 영농형 태양광 설치 원칙적 허용.</w:t>
      </w:r>
      <w:r>
        <w:rPr>
          <w:sz w:val="20"/>
        </w:rPr>
        <w:br/>
      </w:r>
      <w:r>
        <w:rPr>
          <w:sz w:val="20"/>
        </w:rPr>
        <w:t>- 농업진흥지역 내(절대 농지): 원칙적 불가. 다만, 「농촌공간재구조화법」에 따라 지정된 '재생에너지지구' 내에 한해서만 예외적 허용.</w:t>
      </w:r>
    </w:p>
    <w:p>
      <w:pPr>
        <w:ind w:left="288"/>
        <w:spacing w:after="120" w:line="312" w:lineRule="auto"/>
      </w:pPr>
      <w:r>
        <w:rPr>
          <w:b/>
          <w:color w:val="3572EF"/>
          <w:sz w:val="22"/>
        </w:rPr>
        <w:t>■ 사업 인정 기간 대폭 확대 (최장 23년~30년 안정성 확보)</w:t>
      </w:r>
      <w:r>
        <w:rPr>
          <w:b/>
          <w:color w:val="3572EF"/>
          <w:sz w:val="22"/>
        </w:rPr>
        <w:br/>
      </w:r>
      <w:r>
        <w:rPr>
          <w:sz w:val="20"/>
        </w:rPr>
        <w:t>가장 큰 걸림돌이었던 기간 규제가 전면 개편되었습니다. 기존 농지법상 '타용도 일시사용허가' 기간은 최장 8년에 불과하여 투자비(CAPEX) 회수가 불가능했으나, 이번 제정안을 통해 최초 5년 허가 후 연장 단계를 거쳐 최대 23년에서 30년 수준까지 장기 운영이 가능하도록 명문화하여 PF 구조조달 기반을 마련했습니다. 단, 3년마다 실제 영농 여부를 철저히 검증하여 연장합니다.</w:t>
      </w:r>
    </w:p>
    <w:p>
      <w:pPr>
        <w:ind w:left="288"/>
        <w:spacing w:after="120" w:line="312" w:lineRule="auto"/>
      </w:pPr>
      <w:r>
        <w:rPr>
          <w:b/>
          <w:color w:val="3572EF"/>
          <w:sz w:val="22"/>
        </w:rPr>
        <w:t>■ 강력한 영농 의무 및 4단계 제재 시스템 도입</w:t>
      </w:r>
      <w:r>
        <w:rPr>
          <w:b/>
          <w:color w:val="3572EF"/>
          <w:sz w:val="22"/>
        </w:rPr>
        <w:br/>
      </w:r>
      <w:r>
        <w:rPr>
          <w:sz w:val="20"/>
        </w:rPr>
        <w:t>매년 제출한 영농계획서에 따라 실제 작물을 재배해야 하며, 농지관리원 및 한국농어촌공사에서 매년 실사 조사를 나옵니다. 부실 영농 또는 농사 포기 시 강력한 제재가 들어갑니다.</w:t>
      </w:r>
      <w:r>
        <w:rPr>
          <w:sz w:val="20"/>
        </w:rPr>
        <w:br/>
      </w:r>
      <w:r>
        <w:rPr>
          <w:sz w:val="20"/>
        </w:rPr>
        <w:t>※ 제재 프로세스: ① 시정명령 ➔ ② 과징금 부과 ➔ ③ REC 환수 및 사업정지 ➔ ④ 최종 사업권 취소 및 농지 원상복구</w:t>
      </w:r>
    </w:p>
    <w:p>
      <w:pPr>
        <w:ind w:left="288"/>
        <w:spacing w:after="120" w:line="312" w:lineRule="auto"/>
      </w:pPr>
      <w:r>
        <w:rPr>
          <w:b/>
          <w:color w:val="3572EF"/>
          <w:sz w:val="22"/>
        </w:rPr>
        <w:t>■ 임차농 보호 장치 및 임대료 인상 상한선 제한</w:t>
      </w:r>
      <w:r>
        <w:rPr>
          <w:b/>
          <w:color w:val="3572EF"/>
          <w:sz w:val="22"/>
        </w:rPr>
        <w:br/>
      </w:r>
      <w:r>
        <w:rPr>
          <w:sz w:val="20"/>
        </w:rPr>
        <w:t>국내 임차농 비율이 높은 점을 감안하여 부작용 방지 대책을 명시했습니다.</w:t>
      </w:r>
      <w:r>
        <w:rPr>
          <w:sz w:val="20"/>
        </w:rPr>
        <w:br/>
      </w:r>
      <w:r>
        <w:rPr>
          <w:sz w:val="20"/>
        </w:rPr>
        <w:t>- 임대차 자동 갱신 의무: 태양광 사업 기간 동안 토지 소유자는 임대차 계약을 임의 해지할 수 없고 자동 갱신해야 함.</w:t>
      </w:r>
      <w:r>
        <w:rPr>
          <w:sz w:val="20"/>
        </w:rPr>
        <w:br/>
      </w:r>
      <w:r>
        <w:rPr>
          <w:sz w:val="20"/>
        </w:rPr>
        <w:t>- 차임 인상 제한: 태양광 수익을 이유로 지주가 임대료를 폭등시키는 것을 막기 위해 기존 임대료의 5% 이내로 인상 폭을 대폭 제한.</w:t>
      </w:r>
    </w:p>
    <w:p>
      <w:pPr>
        <w:spacing w:after="160" w:before="360"/>
      </w:pPr>
      <w:r>
        <w:rPr>
          <w:rFonts w:ascii="맑은 고딕" w:hAnsi="맑은 고딕"/>
          <w:b/>
          <w:color w:val="102C57"/>
          <w:sz w:val="28"/>
        </w:rPr>
        <w:t>3. PM 관점의 영농형 태양광 사업성 비교 분석</w:t>
      </w:r>
    </w:p>
    <w:tbl>
      <w:tblPr>
        <w:tblW w:w="0" w:type="auto"/>
        <w:tblLook w:val="04A0" w:firstRow="1" w:lastRow="0" w:firstColumn="1" w:lastColumn="0" w:noHBand="0" w:noVBand="1"/>
        <w:jc w:val="center"/>
      </w:tblPr>
      <w:tblGrid>
        <w:gridCol w:w="3010"/>
        <w:gridCol w:w="3010"/>
        <w:gridCol w:w="3010"/>
      </w:tblGrid>
      <w:tr>
        <w:tc>
          <w:tcPr>
            <w:tcW w:w="1728" w:type="dxa"/>
            <w:shd w:val="clear" w:color="auto" w:fill="102C57"/>
            <w:tcMar>
              <w:top w:w="120" w:type="dxa"/>
              <w:left w:w="150" w:type="dxa"/>
              <w:bottom w:w="120" w:type="dxa"/>
              <w:right w:w="15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구분</w:t>
            </w:r>
          </w:p>
        </w:tc>
        <w:tc>
          <w:tcPr>
            <w:tcW w:w="3600" w:type="dxa"/>
            <w:shd w:val="clear" w:color="auto" w:fill="102C57"/>
            <w:tcMar>
              <w:top w:w="120" w:type="dxa"/>
              <w:left w:w="150" w:type="dxa"/>
              <w:bottom w:w="120" w:type="dxa"/>
              <w:right w:w="15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기존 규제 및 문제점</w:t>
            </w:r>
          </w:p>
        </w:tc>
        <w:tc>
          <w:tcPr>
            <w:tcW w:w="4032" w:type="dxa"/>
            <w:shd w:val="clear" w:color="auto" w:fill="102C57"/>
            <w:tcMar>
              <w:top w:w="120" w:type="dxa"/>
              <w:left w:w="150" w:type="dxa"/>
              <w:bottom w:w="120" w:type="dxa"/>
              <w:right w:w="15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특별법 제정 후 변경 및 시사점</w:t>
            </w:r>
          </w:p>
        </w:tc>
      </w:tr>
      <w:tr>
        <w:tc>
          <w:tcPr>
            <w:tcW w:w="172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jc w:val="center"/>
              <w:spacing w:line="288" w:lineRule="auto"/>
            </w:pPr>
            <w:r>
              <w:rPr>
                <w:rFonts w:ascii="맑은 고딕" w:hAnsi="맑은 고딕"/>
                <w:b/>
                <w:sz w:val="19"/>
              </w:rPr>
              <w:t>사업 인정 기간</w:t>
            </w:r>
            <w:r>
              <w:rPr>
                <w:rFonts w:ascii="맑은 고딕" w:hAnsi="맑은 고딕"/>
                <w:b/>
                <w:sz w:val="19"/>
              </w:rPr>
              <w:br/>
            </w:r>
            <w:r>
              <w:rPr>
                <w:rFonts w:ascii="맑은 고딕" w:hAnsi="맑은 고딕"/>
                <w:b/>
                <w:sz w:val="19"/>
              </w:rPr>
              <w:t>(금융 조달)</w:t>
            </w:r>
          </w:p>
        </w:tc>
        <w:tc>
          <w:tcPr>
            <w:tcW w:w="360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jc w:val="left"/>
              <w:spacing w:line="288" w:lineRule="auto"/>
            </w:pPr>
            <w:r>
              <w:rPr>
                <w:rFonts w:ascii="맑은 고딕" w:hAnsi="맑은 고딕"/>
                <w:sz w:val="19"/>
              </w:rPr>
              <w:t>타용도 일시사용허가 최장 8년 제한으로 자금 회수 불투명, 사실상 금융권 PF 불가 조항이었음.</w:t>
            </w:r>
          </w:p>
        </w:tc>
        <w:tc>
          <w:tcPr>
            <w:tcW w:w="403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jc w:val="left"/>
              <w:spacing w:line="288" w:lineRule="auto"/>
            </w:pPr>
            <w:r>
              <w:rPr>
                <w:rFonts w:ascii="맑은 고딕" w:hAnsi="맑은 고딕"/>
                <w:sz w:val="19"/>
              </w:rPr>
              <w:t>최초 5년 허가 + 추가 연장을 거쳐 최장 23년~30년 운영 명문화. 장기 현금흐름 시뮬레이션(IRR/NPV) 및 타인자본(PF) 조달 안정성 확보 가능.</w:t>
            </w:r>
          </w:p>
        </w:tc>
      </w:tr>
      <w:tr>
        <w:tc>
          <w:tcPr>
            <w:tcW w:w="172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9F9F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jc w:val="center"/>
              <w:spacing w:line="288" w:lineRule="auto"/>
            </w:pPr>
            <w:r>
              <w:rPr>
                <w:rFonts w:ascii="맑은 고딕" w:hAnsi="맑은 고딕"/>
                <w:b/>
                <w:sz w:val="19"/>
              </w:rPr>
              <w:t>사업 시행 주체</w:t>
            </w:r>
          </w:p>
        </w:tc>
        <w:tc>
          <w:tcPr>
            <w:tcW w:w="360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9F9F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jc w:val="left"/>
              <w:spacing w:line="288" w:lineRule="auto"/>
            </w:pPr>
            <w:r>
              <w:rPr>
                <w:rFonts w:ascii="맑은 고딕" w:hAnsi="맑은 고딕"/>
                <w:sz w:val="19"/>
              </w:rPr>
              <w:t>지주 위주의 외부 SPC 및 외지 기획부동산 자본 난개발로 농민 반발 및 주민 수용성 악화.</w:t>
            </w:r>
          </w:p>
        </w:tc>
        <w:tc>
          <w:tcPr>
            <w:tcW w:w="403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9F9F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jc w:val="left"/>
              <w:spacing w:line="288" w:lineRule="auto"/>
            </w:pPr>
            <w:r>
              <w:rPr>
                <w:rFonts w:ascii="맑은 고딕" w:hAnsi="맑은 고딕"/>
                <w:sz w:val="19"/>
              </w:rPr>
              <w:t>3년 이상 실경작 거주 농민, 10인 이상 주민협동조합 중심 체계 구축. 주민 수용성이 확보되어 인허가 리스크 및 민원 비용 감소 기대.</w:t>
            </w:r>
          </w:p>
        </w:tc>
      </w:tr>
      <w:tr>
        <w:tc>
          <w:tcPr>
            <w:tcW w:w="172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jc w:val="center"/>
              <w:spacing w:line="288" w:lineRule="auto"/>
            </w:pPr>
            <w:r>
              <w:rPr>
                <w:rFonts w:ascii="맑은 고딕" w:hAnsi="맑은 고딕"/>
                <w:b/>
                <w:sz w:val="19"/>
              </w:rPr>
              <w:t>농지 전용 및 규제</w:t>
            </w:r>
          </w:p>
        </w:tc>
        <w:tc>
          <w:tcPr>
            <w:tcW w:w="360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jc w:val="left"/>
              <w:spacing w:line="288" w:lineRule="auto"/>
            </w:pPr>
            <w:r>
              <w:rPr>
                <w:rFonts w:ascii="맑은 고딕" w:hAnsi="맑은 고딕"/>
                <w:sz w:val="19"/>
              </w:rPr>
              <w:t>진흥지역 여부와 상관없이 무분별한 농지 훼손 우려로 정부 및 지자체 인허가 지연 상존.</w:t>
            </w:r>
          </w:p>
        </w:tc>
        <w:tc>
          <w:tcPr>
            <w:tcW w:w="403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jc w:val="left"/>
              <w:spacing w:line="288" w:lineRule="auto"/>
            </w:pPr>
            <w:r>
              <w:rPr>
                <w:rFonts w:ascii="맑은 고딕" w:hAnsi="맑은 고딕"/>
                <w:sz w:val="19"/>
              </w:rPr>
              <w:t>진흥지역 외 위주 허용, 진흥지역 내는 '재생에너지지구'에 한해 제한적 허용. 농축산부 가이드라인에 따른 맞춤형 사업 부지 타겟팅 필요.</w:t>
            </w:r>
          </w:p>
        </w:tc>
      </w:tr>
    </w:tbl>
    <w:p>
      <w:pPr>
        <w:spacing w:before="600"/>
      </w:pPr>
      <w:r>
        <w:rPr>
          <w:i/>
          <w:color w:val="787878"/>
          <w:sz w:val="17"/>
        </w:rPr>
        <w:t>※ 본 보고서는 2026년 5월 7일 통과 및 최근 공포된 특별법안 국회 데이터 및 농림축산식품부 공식 보도자료를 기반으로 작성되었습니다. 사업성 시뮬레이션 및 PF 구도 검토 시 법 시행 예정일(2026년 11월) 전후 발표될 세부 시행령(모듈 차광률 제한 등)의 정밀 모니터링</w:t>
      </w:r>
      <w:r>
        <w:rPr>
          <w:lang w:eastAsia="ko-KR"/>
          <w:i/>
          <w:color w:val="787878"/>
          <w:sz w:val="17"/>
          <w:rtl w:val="off"/>
        </w:rPr>
        <w:t xml:space="preserve"> 예정입니다</w:t>
      </w:r>
    </w:p>
    <w:sectPr>
      <w:pgSz w:w="11909" w:h="16834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notTrueType w:val="false"/>
    <w:sig w:usb0="9000002F" w:usb1="29D77CFB" w:usb2="00000012" w:usb3="00000001" w:csb0="00080001" w:csb1="00000001"/>
  </w:font>
  <w:font w:name="Courier">
    <w:charset w:val="00"/>
    <w:notTrueType w:val="false"/>
  </w:font>
  <w:font w:name="Symbol">
    <w:panose1 w:val="05050102010706020507"/>
    <w:family w:val="Symbol"/>
    <w:charset w:val="00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ffffff89"/>
    <w:multiLevelType w:val="singleLevel"/>
    <w:tmpl w:val="29761a62"/>
    <w:lvl w:ilvl="0">
      <w:start w:val="1"/>
      <w:numFmt w:val="bullet"/>
      <w:lvlText w:val=""/>
      <w:lvlJc w:val="left"/>
      <w:pStyle w:val="ListBullet"/>
      <w:pPr>
        <w:ind w:left="360" w:hanging="360"/>
        <w:tabs>
          <w:tab w:val="num" w:pos="360"/>
        </w:tabs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3d1effd4"/>
    <w:lvl w:ilvl="0">
      <w:start w:val="1"/>
      <w:numFmt w:val="bullet"/>
      <w:lvlText w:val=""/>
      <w:lvlJc w:val="left"/>
      <w:pStyle w:val="ListBullet2"/>
      <w:pPr>
        <w:ind w:left="720" w:hanging="360"/>
        <w:tabs>
          <w:tab w:val="num" w:pos="720"/>
        </w:tabs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f3eafdec"/>
    <w:lvl w:ilvl="0">
      <w:start w:val="1"/>
      <w:numFmt w:val="bullet"/>
      <w:lvlText w:val=""/>
      <w:lvlJc w:val="left"/>
      <w:pStyle w:val="ListBullet3"/>
      <w:pPr>
        <w:ind w:left="1080" w:hanging="360"/>
        <w:tabs>
          <w:tab w:val="num" w:pos="1080"/>
        </w:tabs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d0a62b40"/>
    <w:lvl w:ilvl="0">
      <w:start w:val="1"/>
      <w:lvlText w:val="%1."/>
      <w:lvlJc w:val="left"/>
      <w:pStyle w:val="ListNumber"/>
      <w:pPr>
        <w:ind w:left="360" w:hanging="360"/>
        <w:tabs>
          <w:tab w:val="num" w:pos="360"/>
        </w:tabs>
      </w:pPr>
    </w:lvl>
  </w:abstractNum>
  <w:abstractNum w:abstractNumId="4">
    <w:nsid w:val="ffffff7f"/>
    <w:multiLevelType w:val="singleLevel"/>
    <w:tmpl w:val="38441652"/>
    <w:lvl w:ilvl="0">
      <w:start w:val="1"/>
      <w:lvlText w:val="%1."/>
      <w:lvlJc w:val="left"/>
      <w:pStyle w:val="ListNumber2"/>
      <w:pPr>
        <w:ind w:left="720" w:hanging="360"/>
        <w:tabs>
          <w:tab w:val="num" w:pos="720"/>
        </w:tabs>
      </w:pPr>
    </w:lvl>
  </w:abstractNum>
  <w:abstractNum w:abstractNumId="5">
    <w:nsid w:val="ffffff7e"/>
    <w:multiLevelType w:val="singleLevel"/>
    <w:tmpl w:val="fb12693a"/>
    <w:lvl w:ilvl="0">
      <w:start w:val="1"/>
      <w:lvlText w:val="%1."/>
      <w:lvlJc w:val="left"/>
      <w:pStyle w:val="ListNumber3"/>
      <w:pPr>
        <w:ind w:left="1080" w:hanging="360"/>
        <w:tabs>
          <w:tab w:val="num" w:pos="108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val="bestFit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16" w:unhideWhenUsed="0" w:qFormat="1"/>
    <w:lsdException w:name="Default Paragraph Font" w:uiPriority="1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8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iPriority="99" w:unhideWhenUsed="0"/>
    <w:lsdException w:name="Medium Shading 2" w:semiHidden="0" w:uiPriority="100" w:unhideWhenUsed="0"/>
    <w:lsdException w:name="Medium List 1" w:semiHidden="0" w:uiPriority="101" w:unhideWhenUsed="0"/>
    <w:lsdException w:name="Medium List 2" w:semiHidden="0" w:uiPriority="102" w:unhideWhenUsed="0"/>
    <w:lsdException w:name="Medium Grid 1" w:semiHidden="0" w:uiPriority="103" w:unhideWhenUsed="0"/>
    <w:lsdException w:name="Medium Grid 2" w:semiHidden="0" w:uiPriority="104" w:unhideWhenUsed="0"/>
    <w:lsdException w:name="Medium Grid 3" w:semiHidden="0" w:uiPriority="105" w:unhideWhenUsed="0"/>
    <w:lsdException w:name="Dark List" w:semiHidden="0" w:uiPriority="112" w:unhideWhenUsed="0"/>
    <w:lsdException w:name="Colorful Shading" w:semiHidden="0" w:uiPriority="113" w:unhideWhenUsed="0"/>
    <w:lsdException w:name="Colorful List" w:semiHidden="0" w:uiPriority="114" w:unhideWhenUsed="0"/>
    <w:lsdException w:name="Colorful Grid" w:semiHidden="0" w:uiPriority="115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iPriority="99" w:unhideWhenUsed="0"/>
    <w:lsdException w:name="Medium Shading 2 Accent 1" w:semiHidden="0" w:uiPriority="100" w:unhideWhenUsed="0"/>
    <w:lsdException w:name="Medium List 1 Accent 1" w:semiHidden="0" w:uiPriority="101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102" w:unhideWhenUsed="0"/>
    <w:lsdException w:name="Medium Grid 1 Accent 1" w:semiHidden="0" w:uiPriority="103" w:unhideWhenUsed="0"/>
    <w:lsdException w:name="Medium Grid 2 Accent 1" w:semiHidden="0" w:uiPriority="104" w:unhideWhenUsed="0"/>
    <w:lsdException w:name="Medium Grid 3 Accent 1" w:semiHidden="0" w:uiPriority="105" w:unhideWhenUsed="0"/>
    <w:lsdException w:name="Dark List Accent 1" w:semiHidden="0" w:uiPriority="112" w:unhideWhenUsed="0"/>
    <w:lsdException w:name="Colorful Shading Accent 1" w:semiHidden="0" w:uiPriority="113" w:unhideWhenUsed="0"/>
    <w:lsdException w:name="Colorful List Accent 1" w:semiHidden="0" w:uiPriority="114" w:unhideWhenUsed="0"/>
    <w:lsdException w:name="Colorful Grid Accent 1" w:semiHidden="0" w:uiPriority="115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iPriority="99" w:unhideWhenUsed="0"/>
    <w:lsdException w:name="Medium Shading 2 Accent 2" w:semiHidden="0" w:uiPriority="100" w:unhideWhenUsed="0"/>
    <w:lsdException w:name="Medium List 1 Accent 2" w:semiHidden="0" w:uiPriority="101" w:unhideWhenUsed="0"/>
    <w:lsdException w:name="Medium List 2 Accent 2" w:semiHidden="0" w:uiPriority="102" w:unhideWhenUsed="0"/>
    <w:lsdException w:name="Medium Grid 1 Accent 2" w:semiHidden="0" w:uiPriority="103" w:unhideWhenUsed="0"/>
    <w:lsdException w:name="Medium Grid 2 Accent 2" w:semiHidden="0" w:uiPriority="104" w:unhideWhenUsed="0"/>
    <w:lsdException w:name="Medium Grid 3 Accent 2" w:semiHidden="0" w:uiPriority="105" w:unhideWhenUsed="0"/>
    <w:lsdException w:name="Dark List Accent 2" w:semiHidden="0" w:uiPriority="112" w:unhideWhenUsed="0"/>
    <w:lsdException w:name="Colorful Shading Accent 2" w:semiHidden="0" w:uiPriority="113" w:unhideWhenUsed="0"/>
    <w:lsdException w:name="Colorful List Accent 2" w:semiHidden="0" w:uiPriority="114" w:unhideWhenUsed="0"/>
    <w:lsdException w:name="Colorful Grid Accent 2" w:semiHidden="0" w:uiPriority="115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iPriority="99" w:unhideWhenUsed="0"/>
    <w:lsdException w:name="Medium Shading 2 Accent 3" w:semiHidden="0" w:uiPriority="100" w:unhideWhenUsed="0"/>
    <w:lsdException w:name="Medium List 1 Accent 3" w:semiHidden="0" w:uiPriority="101" w:unhideWhenUsed="0"/>
    <w:lsdException w:name="Medium List 2 Accent 3" w:semiHidden="0" w:uiPriority="102" w:unhideWhenUsed="0"/>
    <w:lsdException w:name="Medium Grid 1 Accent 3" w:semiHidden="0" w:uiPriority="103" w:unhideWhenUsed="0"/>
    <w:lsdException w:name="Medium Grid 2 Accent 3" w:semiHidden="0" w:uiPriority="104" w:unhideWhenUsed="0"/>
    <w:lsdException w:name="Medium Grid 3 Accent 3" w:semiHidden="0" w:uiPriority="105" w:unhideWhenUsed="0"/>
    <w:lsdException w:name="Dark List Accent 3" w:semiHidden="0" w:uiPriority="112" w:unhideWhenUsed="0"/>
    <w:lsdException w:name="Colorful Shading Accent 3" w:semiHidden="0" w:uiPriority="113" w:unhideWhenUsed="0"/>
    <w:lsdException w:name="Colorful List Accent 3" w:semiHidden="0" w:uiPriority="114" w:unhideWhenUsed="0"/>
    <w:lsdException w:name="Colorful Grid Accent 3" w:semiHidden="0" w:uiPriority="115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iPriority="99" w:unhideWhenUsed="0"/>
    <w:lsdException w:name="Medium Shading 2 Accent 4" w:semiHidden="0" w:uiPriority="100" w:unhideWhenUsed="0"/>
    <w:lsdException w:name="Medium List 1 Accent 4" w:semiHidden="0" w:uiPriority="101" w:unhideWhenUsed="0"/>
    <w:lsdException w:name="Medium List 2 Accent 4" w:semiHidden="0" w:uiPriority="102" w:unhideWhenUsed="0"/>
    <w:lsdException w:name="Medium Grid 1 Accent 4" w:semiHidden="0" w:uiPriority="103" w:unhideWhenUsed="0"/>
    <w:lsdException w:name="Medium Grid 2 Accent 4" w:semiHidden="0" w:uiPriority="104" w:unhideWhenUsed="0"/>
    <w:lsdException w:name="Medium Grid 3 Accent 4" w:semiHidden="0" w:uiPriority="105" w:unhideWhenUsed="0"/>
    <w:lsdException w:name="Dark List Accent 4" w:semiHidden="0" w:uiPriority="112" w:unhideWhenUsed="0"/>
    <w:lsdException w:name="Colorful Shading Accent 4" w:semiHidden="0" w:uiPriority="113" w:unhideWhenUsed="0"/>
    <w:lsdException w:name="Colorful List Accent 4" w:semiHidden="0" w:uiPriority="114" w:unhideWhenUsed="0"/>
    <w:lsdException w:name="Colorful Grid Accent 4" w:semiHidden="0" w:uiPriority="115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iPriority="99" w:unhideWhenUsed="0"/>
    <w:lsdException w:name="Medium Shading 2 Accent 5" w:semiHidden="0" w:uiPriority="100" w:unhideWhenUsed="0"/>
    <w:lsdException w:name="Medium List 1 Accent 5" w:semiHidden="0" w:uiPriority="101" w:unhideWhenUsed="0"/>
    <w:lsdException w:name="Medium List 2 Accent 5" w:semiHidden="0" w:uiPriority="102" w:unhideWhenUsed="0"/>
    <w:lsdException w:name="Medium Grid 1 Accent 5" w:semiHidden="0" w:uiPriority="103" w:unhideWhenUsed="0"/>
    <w:lsdException w:name="Medium Grid 2 Accent 5" w:semiHidden="0" w:uiPriority="104" w:unhideWhenUsed="0"/>
    <w:lsdException w:name="Medium Grid 3 Accent 5" w:semiHidden="0" w:uiPriority="105" w:unhideWhenUsed="0"/>
    <w:lsdException w:name="Dark List Accent 5" w:semiHidden="0" w:uiPriority="112" w:unhideWhenUsed="0"/>
    <w:lsdException w:name="Colorful Shading Accent 5" w:semiHidden="0" w:uiPriority="113" w:unhideWhenUsed="0"/>
    <w:lsdException w:name="Colorful List Accent 5" w:semiHidden="0" w:uiPriority="114" w:unhideWhenUsed="0"/>
    <w:lsdException w:name="Colorful Grid Accent 5" w:semiHidden="0" w:uiPriority="115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iPriority="99" w:unhideWhenUsed="0"/>
    <w:lsdException w:name="Medium Shading 2 Accent 6" w:semiHidden="0" w:uiPriority="100" w:unhideWhenUsed="0"/>
    <w:lsdException w:name="Medium List 1 Accent 6" w:semiHidden="0" w:uiPriority="101" w:unhideWhenUsed="0"/>
    <w:lsdException w:name="Medium List 2 Accent 6" w:semiHidden="0" w:uiPriority="102" w:unhideWhenUsed="0"/>
    <w:lsdException w:name="Medium Grid 1 Accent 6" w:semiHidden="0" w:uiPriority="103" w:unhideWhenUsed="0"/>
    <w:lsdException w:name="Medium Grid 2 Accent 6" w:semiHidden="0" w:uiPriority="104" w:unhideWhenUsed="0"/>
    <w:lsdException w:name="Medium Grid 3 Accent 6" w:semiHidden="0" w:uiPriority="105" w:unhideWhenUsed="0"/>
    <w:lsdException w:name="Dark List Accent 6" w:semiHidden="0" w:uiPriority="112" w:unhideWhenUsed="0"/>
    <w:lsdException w:name="Colorful Shading Accent 6" w:semiHidden="0" w:uiPriority="113" w:unhideWhenUsed="0"/>
    <w:lsdException w:name="Colorful List Accent 6" w:semiHidden="0" w:uiPriority="114" w:unhideWhenUsed="0"/>
    <w:lsdException w:name="Colorful Grid Accent 6" w:semiHidden="0" w:uiPriority="115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Normal">
    <w:name w:val="Normal"/>
    <w:qFormat/>
  </w:style>
  <w:style w:type="paragraph" w:customStyle="1" w:styleId="Header">
    <w:name w:val="header"/>
    <w:uiPriority w:val="99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uiPriority w:val="99"/>
    <w:basedOn w:val="DefaultParagraphFont"/>
    <w:link w:val="Header"/>
  </w:style>
  <w:style w:type="paragraph" w:customStyle="1" w:styleId="Footer">
    <w:name w:val="footer"/>
    <w:uiPriority w:val="99"/>
    <w:basedOn w:val="Normal"/>
    <w:link w:val="Foot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uiPriority w:val="99"/>
    <w:basedOn w:val="DefaultParagraphFont"/>
    <w:link w:val="Footer"/>
  </w:style>
  <w:style w:type="paragraph" w:styleId="Heading1">
    <w:name w:val="heading 1"/>
    <w:uiPriority w:val="9"/>
    <w:basedOn w:val="Normal"/>
    <w:next w:val="Normal"/>
    <w:link w:val="Heading1Char"/>
    <w:qFormat/>
    <w:pPr>
      <w:keepNext/>
      <w:keepLines/>
      <w:outlineLvl w:val="0"/>
      <w:spacing w:after="0" w:before="480"/>
    </w:pPr>
    <w:rPr>
      <w:rFonts w:asciiTheme="majorHAnsi" w:eastAsiaTheme="majorEastAsia" w:hAnsiTheme="majorHAnsi" w:cstheme="majorBidi"/>
      <w:b/>
      <w:bCs/>
      <w:color w:val="376092"/>
      <w:sz w:val="28"/>
      <w:szCs w:val="28"/>
    </w:rPr>
  </w:style>
  <w:style w:type="paragraph" w:styleId="Heading2">
    <w:name w:val="heading 2"/>
    <w:uiPriority w:val="9"/>
    <w:basedOn w:val="Normal"/>
    <w:next w:val="Normal"/>
    <w:link w:val="Heading2Char"/>
    <w:qFormat/>
    <w:unhideWhenUsed/>
    <w:pPr>
      <w:keepNext/>
      <w:keepLines/>
      <w:outlineLvl w:val="1"/>
      <w:spacing w:after="0" w:before="200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Heading3">
    <w:name w:val="heading 3"/>
    <w:uiPriority w:val="9"/>
    <w:basedOn w:val="Normal"/>
    <w:next w:val="Normal"/>
    <w:link w:val="Heading3Char"/>
    <w:qFormat/>
    <w:unhideWhenUsed/>
    <w:pPr>
      <w:keepNext/>
      <w:keepLines/>
      <w:outlineLvl w:val="2"/>
      <w:spacing w:after="0" w:before="200"/>
    </w:pPr>
    <w:rPr>
      <w:rFonts w:asciiTheme="majorHAnsi" w:eastAsiaTheme="majorEastAsia" w:hAnsiTheme="majorHAnsi" w:cstheme="majorBidi"/>
      <w:b/>
      <w:bCs/>
      <w:color w:val="4F81BD"/>
    </w:rPr>
  </w:style>
  <w:style w:type="paragraph" w:styleId="Heading4">
    <w:name w:val="heading 4"/>
    <w:uiPriority w:val="9"/>
    <w:basedOn w:val="Normal"/>
    <w:next w:val="Normal"/>
    <w:link w:val="Heading4Char"/>
    <w:qFormat/>
    <w:semiHidden/>
    <w:unhideWhenUsed/>
    <w:pPr>
      <w:keepNext/>
      <w:keepLines/>
      <w:outlineLvl w:val="3"/>
      <w:spacing w:after="0" w:before="200"/>
    </w:pPr>
    <w:rPr>
      <w:rFonts w:asciiTheme="majorHAnsi" w:eastAsiaTheme="majorEastAsia" w:hAnsiTheme="majorHAnsi" w:cstheme="majorBidi"/>
      <w:b/>
      <w:bCs/>
      <w:i/>
      <w:iCs/>
      <w:color w:val="4F81BD"/>
    </w:rPr>
  </w:style>
  <w:style w:type="paragraph" w:styleId="Heading5">
    <w:name w:val="heading 5"/>
    <w:uiPriority w:val="9"/>
    <w:basedOn w:val="Normal"/>
    <w:next w:val="Normal"/>
    <w:link w:val="Heading5Char"/>
    <w:qFormat/>
    <w:semiHidden/>
    <w:unhideWhenUsed/>
    <w:pPr>
      <w:keepNext/>
      <w:keepLines/>
      <w:outlineLvl w:val="4"/>
      <w:spacing w:after="0" w:before="200"/>
    </w:pPr>
    <w:rPr>
      <w:rFonts w:asciiTheme="majorHAnsi" w:eastAsiaTheme="majorEastAsia" w:hAnsiTheme="majorHAnsi" w:cstheme="majorBidi"/>
      <w:color w:val="244061"/>
    </w:rPr>
  </w:style>
  <w:style w:type="paragraph" w:styleId="Heading6">
    <w:name w:val="heading 6"/>
    <w:uiPriority w:val="9"/>
    <w:basedOn w:val="Normal"/>
    <w:next w:val="Normal"/>
    <w:link w:val="Heading6Char"/>
    <w:qFormat/>
    <w:semiHidden/>
    <w:unhideWhenUsed/>
    <w:pPr>
      <w:keepNext/>
      <w:keepLines/>
      <w:outlineLvl w:val="5"/>
      <w:spacing w:after="0" w:before="200"/>
    </w:pPr>
    <w:rPr>
      <w:rFonts w:asciiTheme="majorHAnsi" w:eastAsiaTheme="majorEastAsia" w:hAnsiTheme="majorHAnsi" w:cstheme="majorBidi"/>
      <w:i/>
      <w:iCs/>
      <w:color w:val="244061"/>
    </w:rPr>
  </w:style>
  <w:style w:type="paragraph" w:styleId="Heading7">
    <w:name w:val="heading 7"/>
    <w:uiPriority w:val="9"/>
    <w:basedOn w:val="Normal"/>
    <w:next w:val="Normal"/>
    <w:link w:val="Heading7Char"/>
    <w:qFormat/>
    <w:semiHidden/>
    <w:unhideWhenUsed/>
    <w:pPr>
      <w:keepNext/>
      <w:keepLines/>
      <w:outlineLvl w:val="6"/>
      <w:spacing w:after="0" w:before="200"/>
    </w:pPr>
    <w:rPr>
      <w:rFonts w:asciiTheme="majorHAnsi" w:eastAsiaTheme="majorEastAsia" w:hAnsiTheme="majorHAnsi" w:cstheme="majorBidi"/>
      <w:i/>
      <w:iCs/>
      <w:color w:val="3F3F3F"/>
    </w:rPr>
  </w:style>
  <w:style w:type="paragraph" w:styleId="Heading8">
    <w:name w:val="heading 8"/>
    <w:uiPriority w:val="9"/>
    <w:basedOn w:val="Normal"/>
    <w:next w:val="Normal"/>
    <w:link w:val="Heading8Char"/>
    <w:qFormat/>
    <w:semiHidden/>
    <w:unhideWhenUsed/>
    <w:pPr>
      <w:keepNext/>
      <w:keepLines/>
      <w:outlineLvl w:val="7"/>
      <w:spacing w:after="0" w:before="200"/>
    </w:pPr>
    <w:rPr>
      <w:rFonts w:asciiTheme="majorHAnsi" w:eastAsiaTheme="majorEastAsia" w:hAnsiTheme="majorHAnsi" w:cstheme="majorBidi"/>
      <w:color w:val="4F81BD"/>
      <w:sz w:val="20"/>
      <w:szCs w:val="20"/>
    </w:rPr>
  </w:style>
  <w:style w:type="paragraph" w:styleId="Heading9">
    <w:name w:val="heading 9"/>
    <w:uiPriority w:val="9"/>
    <w:basedOn w:val="Normal"/>
    <w:next w:val="Normal"/>
    <w:link w:val="Heading9Char"/>
    <w:qFormat/>
    <w:semiHidden/>
    <w:unhideWhenUsed/>
    <w:pPr>
      <w:keepNext/>
      <w:keepLines/>
      <w:outlineLvl w:val="8"/>
      <w:spacing w:after="0" w:before="200"/>
    </w:pPr>
    <w:rPr>
      <w:rFonts w:asciiTheme="majorHAnsi" w:eastAsiaTheme="majorEastAsia" w:hAnsiTheme="majorHAnsi" w:cstheme="majorBidi"/>
      <w:i/>
      <w:iCs/>
      <w:color w:val="3F3F3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basedOn w:val="DefaultParagraphFont"/>
    <w:link w:val="Heading1"/>
    <w:rPr>
      <w:rFonts w:asciiTheme="majorHAnsi" w:eastAsiaTheme="majorEastAsia" w:hAnsiTheme="majorHAnsi" w:cstheme="majorBidi"/>
      <w:b/>
      <w:bCs/>
      <w:color w:val="376092"/>
      <w:sz w:val="28"/>
      <w:szCs w:val="28"/>
    </w:rPr>
  </w:style>
  <w:style w:type="character" w:customStyle="1" w:styleId="Heading2Char">
    <w:name w:val="Heading 2 Char"/>
    <w:uiPriority w:val="9"/>
    <w:basedOn w:val="DefaultParagraphFont"/>
    <w:link w:val="Heading2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customStyle="1" w:styleId="Heading3Char">
    <w:name w:val="Heading 3 Char"/>
    <w:uiPriority w:val="9"/>
    <w:basedOn w:val="DefaultParagraphFont"/>
    <w:link w:val="Heading3"/>
    <w:rPr>
      <w:rFonts w:asciiTheme="majorHAnsi" w:eastAsiaTheme="majorEastAsia" w:hAnsiTheme="majorHAnsi" w:cstheme="majorBidi"/>
      <w:b/>
      <w:bCs/>
      <w:color w:val="4F81BD"/>
    </w:rPr>
  </w:style>
  <w:style w:type="paragraph" w:styleId="Title">
    <w:name w:val="Title"/>
    <w:uiPriority w:val="10"/>
    <w:basedOn w:val="Normal"/>
    <w:next w:val="Normal"/>
    <w:link w:val="TitleChar"/>
    <w:qFormat/>
    <w:pPr>
      <w:contextualSpacing/>
      <w:pBdr>
        <w:bottom w:val="single" w:sz="8" w:space="4" w:color="4F81BD" w:themeColor="accent1"/>
      </w:pBdr>
      <w:spacing w:after="300" w:line="240" w:lineRule="auto"/>
    </w:pPr>
    <w:rPr>
      <w:rFonts w:asciiTheme="majorHAnsi" w:eastAsiaTheme="majorEastAsia" w:hAnsiTheme="majorHAnsi" w:cstheme="majorBidi"/>
      <w:color w:val="17375E"/>
      <w:sz w:val="52"/>
      <w:szCs w:val="52"/>
      <w:kern w:val="28"/>
      <w:spacing w:val="5"/>
    </w:rPr>
  </w:style>
  <w:style w:type="character" w:customStyle="1" w:styleId="TitleChar">
    <w:name w:val="Title Char"/>
    <w:uiPriority w:val="10"/>
    <w:basedOn w:val="DefaultParagraphFont"/>
    <w:link w:val="Title"/>
    <w:rPr>
      <w:rFonts w:asciiTheme="majorHAnsi" w:eastAsiaTheme="majorEastAsia" w:hAnsiTheme="majorHAnsi" w:cstheme="majorBidi"/>
      <w:color w:val="17375E"/>
      <w:sz w:val="52"/>
      <w:szCs w:val="52"/>
      <w:kern w:val="28"/>
      <w:spacing w:val="5"/>
    </w:rPr>
  </w:style>
  <w:style w:type="paragraph" w:styleId="Subtitle">
    <w:name w:val="Subtitle"/>
    <w:uiPriority w:val="11"/>
    <w:basedOn w:val="Normal"/>
    <w:next w:val="Normal"/>
    <w:link w:val="SubtitleChar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/>
      <w:sz w:val="24"/>
      <w:szCs w:val="24"/>
      <w:spacing w:val="15"/>
    </w:rPr>
  </w:style>
  <w:style w:type="character" w:customStyle="1" w:styleId="SubtitleChar">
    <w:name w:val="Subtitle Char"/>
    <w:uiPriority w:val="11"/>
    <w:basedOn w:val="DefaultParagraphFont"/>
    <w:link w:val="Subtitle"/>
    <w:rPr>
      <w:rFonts w:asciiTheme="majorHAnsi" w:eastAsiaTheme="majorEastAsia" w:hAnsiTheme="majorHAnsi" w:cstheme="majorBidi"/>
      <w:i/>
      <w:iCs/>
      <w:color w:val="4F81BD"/>
      <w:sz w:val="24"/>
      <w:szCs w:val="24"/>
      <w:spacing w:val="15"/>
    </w:rPr>
  </w:style>
  <w:style w:type="paragraph" w:styleId="ListParagraph">
    <w:name w:val="List Paragraph"/>
    <w:uiPriority w:val="34"/>
    <w:basedOn w:val="Normal"/>
    <w:qFormat/>
    <w:pPr>
      <w:ind w:left="720"/>
      <w:contextualSpacing/>
    </w:pPr>
  </w:style>
  <w:style w:type="paragraph" w:customStyle="1" w:styleId="BodyText">
    <w:name w:val="Body Text"/>
    <w:uiPriority w:val="99"/>
    <w:basedOn w:val="Normal"/>
    <w:link w:val="BodyTextChar"/>
    <w:unhideWhenUsed/>
    <w:pPr>
      <w:spacing w:after="120"/>
    </w:pPr>
  </w:style>
  <w:style w:type="character" w:customStyle="1" w:styleId="BodyTextChar">
    <w:name w:val="Body Text Char"/>
    <w:uiPriority w:val="99"/>
    <w:basedOn w:val="DefaultParagraphFont"/>
    <w:link w:val="BodyText"/>
  </w:style>
  <w:style w:type="paragraph" w:customStyle="1" w:styleId="BodyText2">
    <w:name w:val="Body Text 2"/>
    <w:uiPriority w:val="99"/>
    <w:basedOn w:val="Normal"/>
    <w:link w:val="BodyText2Char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basedOn w:val="DefaultParagraphFont"/>
    <w:link w:val="BodyText2"/>
  </w:style>
  <w:style w:type="paragraph" w:customStyle="1" w:styleId="BodyText3">
    <w:name w:val="Body Text 3"/>
    <w:uiPriority w:val="99"/>
    <w:basedOn w:val="Normal"/>
    <w:link w:val="BodyText3Char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basedOn w:val="DefaultParagraphFont"/>
    <w:link w:val="BodyText3"/>
    <w:rPr>
      <w:sz w:val="16"/>
      <w:szCs w:val="16"/>
    </w:rPr>
  </w:style>
  <w:style w:type="paragraph" w:customStyle="1" w:styleId="List">
    <w:name w:val="List"/>
    <w:uiPriority w:val="99"/>
    <w:basedOn w:val="Normal"/>
    <w:unhideWhenUsed/>
    <w:pPr>
      <w:ind w:left="360" w:hanging="360"/>
      <w:contextualSpacing/>
    </w:pPr>
  </w:style>
  <w:style w:type="paragraph" w:customStyle="1" w:styleId="List2">
    <w:name w:val="List 2"/>
    <w:uiPriority w:val="99"/>
    <w:basedOn w:val="Normal"/>
    <w:unhideWhenUsed/>
    <w:pPr>
      <w:ind w:left="720" w:hanging="360"/>
      <w:contextualSpacing/>
    </w:pPr>
  </w:style>
  <w:style w:type="paragraph" w:customStyle="1" w:styleId="List3">
    <w:name w:val="List 3"/>
    <w:uiPriority w:val="99"/>
    <w:basedOn w:val="Normal"/>
    <w:unhideWhenUsed/>
    <w:pPr>
      <w:ind w:left="1080" w:hanging="360"/>
      <w:contextualSpacing/>
    </w:pPr>
  </w:style>
  <w:style w:type="paragraph" w:customStyle="1" w:styleId="ListBullet">
    <w:name w:val="List Bullet"/>
    <w:uiPriority w:val="99"/>
    <w:basedOn w:val="Normal"/>
    <w:unhideWhenUsed/>
    <w:pPr>
      <w:contextualSpacing/>
      <w:numPr>
        <w:numId w:val="1"/>
      </w:numPr>
    </w:pPr>
  </w:style>
  <w:style w:type="paragraph" w:customStyle="1" w:styleId="ListBullet2">
    <w:name w:val="List Bullet 2"/>
    <w:uiPriority w:val="99"/>
    <w:basedOn w:val="Normal"/>
    <w:unhideWhenUsed/>
    <w:pPr>
      <w:contextualSpacing/>
      <w:numPr>
        <w:numId w:val="2"/>
      </w:numPr>
    </w:pPr>
  </w:style>
  <w:style w:type="paragraph" w:customStyle="1" w:styleId="ListBullet3">
    <w:name w:val="List Bullet 3"/>
    <w:uiPriority w:val="99"/>
    <w:basedOn w:val="Normal"/>
    <w:unhideWhenUsed/>
    <w:pPr>
      <w:contextualSpacing/>
      <w:numPr>
        <w:numId w:val="3"/>
      </w:numPr>
    </w:pPr>
  </w:style>
  <w:style w:type="paragraph" w:customStyle="1" w:styleId="ListNumber">
    <w:name w:val="List Number"/>
    <w:uiPriority w:val="99"/>
    <w:basedOn w:val="Normal"/>
    <w:unhideWhenUsed/>
    <w:pPr>
      <w:contextualSpacing/>
      <w:numPr>
        <w:numId w:val="4"/>
      </w:numPr>
    </w:pPr>
  </w:style>
  <w:style w:type="paragraph" w:customStyle="1" w:styleId="ListNumber2">
    <w:name w:val="List Number 2"/>
    <w:uiPriority w:val="99"/>
    <w:basedOn w:val="Normal"/>
    <w:unhideWhenUsed/>
    <w:pPr>
      <w:contextualSpacing/>
      <w:numPr>
        <w:numId w:val="5"/>
      </w:numPr>
    </w:pPr>
  </w:style>
  <w:style w:type="paragraph" w:customStyle="1" w:styleId="ListNumber3">
    <w:name w:val="List Number 3"/>
    <w:uiPriority w:val="99"/>
    <w:basedOn w:val="Normal"/>
    <w:unhideWhenUsed/>
    <w:pPr>
      <w:contextualSpacing/>
      <w:numPr>
        <w:numId w:val="6"/>
      </w:numPr>
    </w:pPr>
  </w:style>
  <w:style w:type="paragraph" w:customStyle="1" w:styleId="ListContinue">
    <w:name w:val="List Continue"/>
    <w:uiPriority w:val="99"/>
    <w:basedOn w:val="Normal"/>
    <w:unhideWhenUsed/>
    <w:pPr>
      <w:ind w:left="360"/>
      <w:contextualSpacing/>
      <w:spacing w:after="120"/>
    </w:pPr>
  </w:style>
  <w:style w:type="paragraph" w:customStyle="1" w:styleId="ListContinue2">
    <w:name w:val="List Continue 2"/>
    <w:uiPriority w:val="99"/>
    <w:basedOn w:val="Normal"/>
    <w:unhideWhenUsed/>
    <w:pPr>
      <w:ind w:left="720"/>
      <w:contextualSpacing/>
      <w:spacing w:after="120"/>
    </w:pPr>
  </w:style>
  <w:style w:type="paragraph" w:customStyle="1" w:styleId="ListContinue3">
    <w:name w:val="List Continue 3"/>
    <w:uiPriority w:val="99"/>
    <w:basedOn w:val="Normal"/>
    <w:unhideWhenUsed/>
    <w:pPr>
      <w:ind w:left="1080"/>
      <w:contextualSpacing/>
      <w:spacing w:after="120"/>
    </w:pPr>
  </w:style>
  <w:style w:type="paragraph" w:customStyle="1" w:styleId="MacroText">
    <w:name w:val="macro"/>
    <w:uiPriority w:val="99"/>
    <w:link w:val="MacroTextChar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uiPriority w:val="99"/>
    <w:basedOn w:val="DefaultParagraphFont"/>
    <w:link w:val="MacroText"/>
    <w:rPr>
      <w:rFonts w:ascii="Courier" w:hAnsi="Courier"/>
      <w:sz w:val="20"/>
      <w:szCs w:val="20"/>
    </w:rPr>
  </w:style>
  <w:style w:type="paragraph" w:styleId="Quote">
    <w:name w:val="Quote"/>
    <w:uiPriority w:val="29"/>
    <w:basedOn w:val="Normal"/>
    <w:next w:val="Normal"/>
    <w:link w:val="QuoteChar"/>
    <w:qFormat/>
    <w:rPr>
      <w:i/>
      <w:iCs/>
      <w:color w:val="000000"/>
    </w:rPr>
  </w:style>
  <w:style w:type="character" w:customStyle="1" w:styleId="QuoteChar">
    <w:name w:val="Quote Char"/>
    <w:uiPriority w:val="29"/>
    <w:basedOn w:val="DefaultParagraphFont"/>
    <w:link w:val="Quote"/>
    <w:rPr>
      <w:i/>
      <w:iCs/>
      <w:color w:val="000000"/>
    </w:rPr>
  </w:style>
  <w:style w:type="character" w:customStyle="1" w:styleId="Heading4Char">
    <w:name w:val="Heading 4 Char"/>
    <w:uiPriority w:val="9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4F81BD"/>
    </w:rPr>
  </w:style>
  <w:style w:type="character" w:customStyle="1" w:styleId="Heading5Char">
    <w:name w:val="Heading 5 Char"/>
    <w:uiPriority w:val="9"/>
    <w:basedOn w:val="DefaultParagraphFont"/>
    <w:link w:val="Heading5"/>
    <w:semiHidden/>
    <w:rPr>
      <w:rFonts w:asciiTheme="majorHAnsi" w:eastAsiaTheme="majorEastAsia" w:hAnsiTheme="majorHAnsi" w:cstheme="majorBidi"/>
      <w:color w:val="244061"/>
    </w:rPr>
  </w:style>
  <w:style w:type="character" w:customStyle="1" w:styleId="Heading6Char">
    <w:name w:val="Heading 6 Char"/>
    <w:uiPriority w:val="9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244061"/>
    </w:rPr>
  </w:style>
  <w:style w:type="character" w:customStyle="1" w:styleId="Heading7Char">
    <w:name w:val="Heading 7 Char"/>
    <w:uiPriority w:val="9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3F3F3F"/>
    </w:rPr>
  </w:style>
  <w:style w:type="character" w:customStyle="1" w:styleId="Heading8Char">
    <w:name w:val="Heading 8 Char"/>
    <w:uiPriority w:val="9"/>
    <w:basedOn w:val="DefaultParagraphFont"/>
    <w:link w:val="Heading8"/>
    <w:semiHidden/>
    <w:rPr>
      <w:rFonts w:asciiTheme="majorHAnsi" w:eastAsiaTheme="majorEastAsia" w:hAnsiTheme="majorHAnsi" w:cstheme="majorBidi"/>
      <w:color w:val="4F81BD"/>
      <w:sz w:val="20"/>
      <w:szCs w:val="20"/>
    </w:rPr>
  </w:style>
  <w:style w:type="character" w:customStyle="1" w:styleId="Heading9Char">
    <w:name w:val="Heading 9 Char"/>
    <w:uiPriority w:val="9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3F3F3F"/>
      <w:sz w:val="20"/>
      <w:szCs w:val="20"/>
    </w:rPr>
  </w:style>
  <w:style w:type="paragraph" w:styleId="Caption">
    <w:name w:val="caption"/>
    <w:uiPriority w:val="35"/>
    <w:basedOn w:val="Normal"/>
    <w:next w:val="Normal"/>
    <w:qFormat/>
    <w:semiHidden/>
    <w:unhideWhenUsed/>
    <w:pPr>
      <w:spacing w:line="240" w:lineRule="auto"/>
    </w:pPr>
    <w:rPr>
      <w:b/>
      <w:bCs/>
      <w:color w:val="4F81BD"/>
      <w:sz w:val="18"/>
      <w:szCs w:val="18"/>
    </w:rPr>
  </w:style>
  <w:style w:type="character" w:styleId="Strong">
    <w:name w:val="Strong"/>
    <w:uiPriority w:val="22"/>
    <w:basedOn w:val="DefaultParagraphFont"/>
    <w:qFormat/>
    <w:rPr>
      <w:b/>
      <w:bCs/>
    </w:rPr>
  </w:style>
  <w:style w:type="character" w:styleId="Emphasis">
    <w:name w:val="Emphasis"/>
    <w:uiPriority w:val="20"/>
    <w:basedOn w:val="DefaultParagraphFont"/>
    <w:qFormat/>
    <w:rPr>
      <w:i/>
      <w:iCs/>
    </w:rPr>
  </w:style>
  <w:style w:type="paragraph" w:styleId="IntenseQuote">
    <w:name w:val="Intense Quote"/>
    <w:uiPriority w:val="30"/>
    <w:basedOn w:val="Normal"/>
    <w:next w:val="Normal"/>
    <w:link w:val="IntenseQuoteChar"/>
    <w:qFormat/>
    <w:pPr>
      <w:ind w:left="936" w:right="936"/>
      <w:pBdr>
        <w:bottom w:val="single" w:sz="4" w:space="4" w:color="4F81BD" w:themeColor="accent1"/>
      </w:pBdr>
      <w:spacing w:after="280" w:before="200"/>
    </w:pPr>
    <w:rPr>
      <w:b/>
      <w:bCs/>
      <w:i/>
      <w:iCs/>
      <w:color w:val="4F81BD"/>
    </w:rPr>
  </w:style>
  <w:style w:type="character" w:customStyle="1" w:styleId="IntenseQuoteChar">
    <w:name w:val="Intense Quote Char"/>
    <w:uiPriority w:val="30"/>
    <w:basedOn w:val="DefaultParagraphFont"/>
    <w:link w:val="IntenseQuote"/>
    <w:rPr>
      <w:b/>
      <w:bCs/>
      <w:i/>
      <w:iCs/>
      <w:color w:val="4F81BD"/>
    </w:rPr>
  </w:style>
  <w:style w:type="character" w:styleId="SubtleEmphasis">
    <w:name w:val="Subtle Emphasis"/>
    <w:uiPriority w:val="19"/>
    <w:basedOn w:val="DefaultParagraphFont"/>
    <w:qFormat/>
    <w:rPr>
      <w:i/>
      <w:iCs/>
      <w:color w:val="7F7F7F"/>
    </w:rPr>
  </w:style>
  <w:style w:type="character" w:styleId="IntenseEmphasis">
    <w:name w:val="Intense Emphasis"/>
    <w:uiPriority w:val="21"/>
    <w:basedOn w:val="DefaultParagraphFont"/>
    <w:qFormat/>
    <w:rPr>
      <w:b/>
      <w:bCs/>
      <w:i/>
      <w:iCs/>
      <w:color w:val="4F81BD"/>
    </w:rPr>
  </w:style>
  <w:style w:type="character" w:styleId="SubtleReference">
    <w:name w:val="Subtle Reference"/>
    <w:uiPriority w:val="31"/>
    <w:basedOn w:val="DefaultParagraphFont"/>
    <w:qFormat/>
    <w:rPr>
      <w:smallCaps/>
      <w:color w:val="C0504D"/>
      <w:u w:val="single" w:color="auto"/>
    </w:rPr>
  </w:style>
  <w:style w:type="character" w:styleId="IntenseReference">
    <w:name w:val="Intense Reference"/>
    <w:uiPriority w:val="32"/>
    <w:basedOn w:val="DefaultParagraphFont"/>
    <w:qFormat/>
    <w:rPr>
      <w:b/>
      <w:bCs/>
      <w:smallCaps/>
      <w:color w:val="C0504D"/>
      <w:u w:val="single" w:color="auto"/>
      <w:spacing w:val="5"/>
    </w:rPr>
  </w:style>
  <w:style w:type="character" w:styleId="BookTitle">
    <w:name w:val="Book Title"/>
    <w:uiPriority w:val="33"/>
    <w:basedOn w:val="DefaultParagraphFont"/>
    <w:qFormat/>
    <w:rPr>
      <w:b/>
      <w:bCs/>
      <w:smallCaps/>
      <w:spacing w:val="5"/>
    </w:rPr>
  </w:style>
  <w:style w:type="paragraph" w:styleId="TOCHeading">
    <w:name w:val="TOC Heading"/>
    <w:uiPriority w:val="39"/>
    <w:basedOn w:val="Heading1"/>
    <w:next w:val="Normal"/>
    <w:qFormat/>
    <w:semiHidden/>
    <w:unhideWhenUsed/>
    <w:pPr>
      <w:outlineLvl w:val="9"/>
    </w:pPr>
  </w:style>
  <w:style w:type="table" w:styleId="TableGrid">
    <w:name w:val="Table Grid"/>
    <w:uiPriority w:val="59"/>
    <w:basedOn w:val="TableNormal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uiPriority w:val="60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LightShading-Accent1">
    <w:name w:val="Light Shading Accent 1"/>
    <w:uiPriority w:val="60"/>
    <w:basedOn w:val="TableNormal"/>
    <w:pPr>
      <w:spacing w:after="0" w:line="240" w:lineRule="auto"/>
    </w:pPr>
    <w:rPr>
      <w:color w:val="376092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uiPriority w:val="60"/>
    <w:basedOn w:val="TableNormal"/>
    <w:pPr>
      <w:spacing w:after="0" w:line="240" w:lineRule="auto"/>
    </w:pPr>
    <w:rPr>
      <w:color w:val="953735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LightShading-Accent3">
    <w:name w:val="Light Shading Accent 3"/>
    <w:uiPriority w:val="60"/>
    <w:basedOn w:val="TableNormal"/>
    <w:pPr>
      <w:spacing w:after="0" w:line="240" w:lineRule="auto"/>
    </w:pPr>
    <w:rPr>
      <w:color w:val="76933C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uiPriority w:val="60"/>
    <w:basedOn w:val="TableNormal"/>
    <w:pPr>
      <w:spacing w:after="0" w:line="240" w:lineRule="auto"/>
    </w:pPr>
    <w:rPr>
      <w:color w:val="604A7B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uiPriority w:val="60"/>
    <w:basedOn w:val="TableNormal"/>
    <w:pPr>
      <w:spacing w:after="0" w:line="240" w:lineRule="auto"/>
    </w:pPr>
    <w:rPr>
      <w:color w:val="31859B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LightShading-Accent6">
    <w:name w:val="Light Shading Accent 6"/>
    <w:uiPriority w:val="60"/>
    <w:basedOn w:val="TableNormal"/>
    <w:pPr>
      <w:spacing w:after="0" w:line="240" w:lineRule="auto"/>
    </w:pPr>
    <w:rPr>
      <w:color w:val="E46C0A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LightList">
    <w:name w:val="Light List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000000" w:themeFill="text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4F81BD" w:themeFill="accent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C0504D" w:themeFill="accent2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9BBB59" w:themeFill="accent3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8064A2" w:themeFill="accent4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4BACC6" w:themeFill="accent5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F79646" w:themeFill="accent6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3F3F3F" w:themeColor="text1" w:themeTint="bf"/>
        <w:left w:val="single" w:sz="8" w:space="0" w:color="3F3F3F" w:themeColor="text1" w:themeTint="bf"/>
        <w:bottom w:val="single" w:sz="8" w:space="0" w:color="3F3F3F" w:themeColor="text1" w:themeTint="bf"/>
        <w:right w:val="single" w:sz="8" w:space="0" w:color="3F3F3F" w:themeColor="text1" w:themeTint="bf"/>
        <w:insideH w:val="single" w:sz="8" w:space="0" w:color="3F3F3F" w:themeColor="text1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3F3F3F" w:themeColor="text1" w:themeTint="bf"/>
          <w:left w:val="single" w:sz="8" w:space="0" w:color="3F3F3F" w:themeColor="text1" w:themeTint="bf"/>
          <w:bottom w:val="single" w:sz="8" w:space="0" w:color="3F3F3F" w:themeColor="text1" w:themeTint="bf"/>
          <w:right w:val="single" w:sz="8" w:space="0" w:color="3F3F3F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3F3F3F" w:themeColor="text1" w:themeTint="bf"/>
          <w:left w:val="single" w:sz="8" w:space="0" w:color="3F3F3F" w:themeColor="text1" w:themeTint="bf"/>
          <w:bottom w:val="single" w:sz="8" w:space="0" w:color="3F3F3F" w:themeColor="text1" w:themeTint="bf"/>
          <w:right w:val="single" w:sz="8" w:space="0" w:color="3F3F3F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MediumList1-Accent1">
    <w:name w:val="Medium List 1 Accent 1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MediumList1-Accent3">
    <w:name w:val="Medium List 1 Accent 3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MediumList1-Accent6">
    <w:name w:val="Medium List 1 Accent 6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MediumList2">
    <w:name w:val="Medium List 2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3F3F3F" w:themeColor="text1" w:themeTint="bf"/>
        <w:left w:val="single" w:sz="8" w:space="0" w:color="3F3F3F" w:themeColor="text1" w:themeTint="bf"/>
        <w:bottom w:val="single" w:sz="8" w:space="0" w:color="3F3F3F" w:themeColor="text1" w:themeTint="bf"/>
        <w:right w:val="single" w:sz="8" w:space="0" w:color="3F3F3F" w:themeColor="text1" w:themeTint="bf"/>
        <w:insideH w:val="single" w:sz="8" w:space="0" w:color="3F3F3F" w:themeColor="text1" w:themeTint="bf"/>
        <w:insideV w:val="single" w:sz="8" w:space="0" w:color="3F3F3F" w:themeColor="text1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F3F3F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MediumGrid1-Accent1">
    <w:name w:val="Medium Grid 1 Accent 1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MediumGrid1-Accent2">
    <w:name w:val="Medium Grid 1 Accent 2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  <w:insideV w:val="single" w:sz="8" w:space="0" w:color="B4CC82" w:themeColor="accent3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BFBFBF" w:themeFill="text1" w:themeFillTint="3f"/>
    </w:tcPr>
    <w:tblStylePr w:type="firstRow">
      <w:rPr>
        <w:b/>
        <w:bCs/>
        <w:color w:val="000000"/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BCB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3DFEE" w:themeFill="accent1" w:themeFillTint="3f"/>
    </w:tcPr>
    <w:tblStylePr w:type="firstRow">
      <w:rPr>
        <w:b/>
        <w:bCs/>
        <w:color w:val="000000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FD3D3" w:themeFill="accent2" w:themeFillTint="3f"/>
    </w:tcPr>
    <w:tblStylePr w:type="firstRow">
      <w:rPr>
        <w:b/>
        <w:bCs/>
        <w:color w:val="000000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6EED5" w:themeFill="accent3" w:themeFillTint="3f"/>
    </w:tcPr>
    <w:tblStylePr w:type="firstRow">
      <w:rPr>
        <w:b/>
        <w:bCs/>
        <w:color w:val="000000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FD8E8" w:themeFill="accent4" w:themeFillTint="3f"/>
    </w:tcPr>
    <w:tblStylePr w:type="firstRow">
      <w:rPr>
        <w:b/>
        <w:bCs/>
        <w:color w:val="000000"/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2EAF0" w:themeFill="accent5" w:themeFillTint="3f"/>
    </w:tcPr>
    <w:tblStylePr w:type="firstRow">
      <w:rPr>
        <w:b/>
        <w:bCs/>
        <w:color w:val="000000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DE5D1" w:themeFill="accent6" w:themeFillTint="3f"/>
    </w:tcPr>
    <w:tblStylePr w:type="firstRow">
      <w:rPr>
        <w:b/>
        <w:bCs/>
        <w:color w:val="000000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A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F7F7F" w:themeFill="text1" w:themeFillTint="7f"/>
      </w:tcPr>
    </w:tblStylePr>
  </w:style>
  <w:style w:type="table" w:styleId="MediumGrid3-Accent1">
    <w:name w:val="Medium Grid 3 Accent 1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C0DE" w:themeFill="accent1" w:themeFillTint="7f"/>
      </w:tcPr>
    </w:tblStylePr>
  </w:style>
  <w:style w:type="table" w:styleId="MediumGrid3-Accent2">
    <w:name w:val="Medium Grid 3 Accent 2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40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609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</w:style>
  <w:style w:type="table" w:styleId="DarkList-Accent2">
    <w:name w:val="Dark List Accent 2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25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373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373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73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735" w:themeFill="accent2" w:themeFillShade="bf"/>
      </w:tcPr>
    </w:tblStylePr>
  </w:style>
  <w:style w:type="table" w:styleId="DarkList-Accent3">
    <w:name w:val="Dark List Accent 3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62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3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3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3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33C" w:themeFill="accent3" w:themeFillShade="bf"/>
      </w:tcPr>
    </w:tblStylePr>
  </w:style>
  <w:style w:type="table" w:styleId="DarkList-Accent4">
    <w:name w:val="Dark List Accent 4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31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4A7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4A7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A7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A7B" w:themeFill="accent4" w:themeFillShade="bf"/>
      </w:tcPr>
    </w:tblStylePr>
  </w:style>
  <w:style w:type="table" w:styleId="DarkList-Accent5">
    <w:name w:val="Dark List Accent 5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5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5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5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59B" w:themeFill="accent5" w:themeFillShade="bf"/>
      </w:tcPr>
    </w:tblStylePr>
  </w:style>
  <w:style w:type="table" w:styleId="DarkList-Accent6">
    <w:name w:val="Dark List Accent 6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8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4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4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6C0A" w:themeFill="accent6" w:themeFillShade="bf"/>
      </w:tcPr>
    </w:tblStylePr>
  </w:style>
  <w:style w:type="table" w:styleId="ColorfulShading">
    <w:name w:val="Colorful Shading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89898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background1"/>
        </w:tcBorders>
        <w:shd w:val="clear" w:color="auto" w:fill="2C4D75" w:themeFill="accent1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D75" w:themeColor="accent1" w:themeShade="99"/>
          <w:insideV w:val="nil"/>
        </w:tcBorders>
        <w:shd w:val="clear" w:color="auto" w:fill="2C4D75" w:themeFill="accent1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D75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9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background1"/>
        </w:tcBorders>
        <w:shd w:val="clear" w:color="auto" w:fill="5F7530" w:themeFill="accent3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F7530" w:themeColor="accent3" w:themeShade="99"/>
          <w:insideV w:val="nil"/>
        </w:tcBorders>
        <w:shd w:val="clear" w:color="auto" w:fill="5F7530" w:themeFill="accent3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7530" w:themeFill="accent3" w:themeFillShade="99"/>
      </w:tcPr>
    </w:tblStylePr>
    <w:tblStylePr w:type="band1Vert">
      <w:tblPr/>
      <w:tcPr>
        <w:shd w:val="clear" w:color="auto" w:fill="D7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background1"/>
        </w:tcBorders>
        <w:shd w:val="clear" w:color="auto" w:fill="4D3B62" w:themeFill="accent4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D3B62" w:themeColor="accent4" w:themeShade="99"/>
          <w:insideV w:val="nil"/>
        </w:tcBorders>
        <w:shd w:val="clear" w:color="auto" w:fill="4D3B62" w:themeFill="accent4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B62" w:themeFill="accent4" w:themeFillShade="99"/>
      </w:tcPr>
    </w:tblStylePr>
    <w:tblStylePr w:type="band1Vert">
      <w:tblPr/>
      <w:tcPr>
        <w:shd w:val="clear" w:color="auto" w:fill="CCC1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7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background1"/>
        </w:tcBorders>
        <w:shd w:val="clear" w:color="auto" w:fill="B65708" w:themeFill="accent6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708" w:themeColor="accent6" w:themeShade="99"/>
          <w:insideV w:val="nil"/>
        </w:tcBorders>
        <w:shd w:val="clear" w:color="auto" w:fill="B65708" w:themeFill="accent6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708" w:themeFill="accent6" w:themeFillShade="99"/>
      </w:tcPr>
    </w:tblStylePr>
    <w:tblStylePr w:type="band1Vert">
      <w:tblPr/>
      <w:tcPr>
        <w:shd w:val="clear" w:color="auto" w:fill="FBD5B5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5E5E5" w:themeFill="text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background1"/>
        </w:tcBorders>
        <w:shd w:val="clear" w:color="auto" w:fill="9F3B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BCBCB" w:themeFill="text1" w:themeFillTint="33"/>
      </w:tcPr>
    </w:tblStylePr>
  </w:style>
  <w:style w:type="table" w:styleId="ColorfulList-Accent1">
    <w:name w:val="Colorful List Accent 1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background1"/>
        </w:tcBorders>
        <w:shd w:val="clear" w:color="auto" w:fill="9F3B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background1"/>
        </w:tcBorders>
        <w:shd w:val="clear" w:color="auto" w:fill="9F3B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background1"/>
        </w:tcBorders>
        <w:shd w:val="clear" w:color="auto" w:fill="664F83" w:themeFill="accent4" w:themeFillShade="cc"/>
      </w:tcPr>
    </w:tblStylePr>
    <w:tblStylePr w:type="lastRow">
      <w:rPr>
        <w:b/>
        <w:bCs/>
        <w:color w:val="664F83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BF1DD" w:themeFill="accent3" w:themeFillTint="33"/>
      </w:tcPr>
    </w:tblStylePr>
  </w:style>
  <w:style w:type="table" w:styleId="ColorfulList-Accent4">
    <w:name w:val="Colorful List Accent 4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background1"/>
        </w:tcBorders>
        <w:shd w:val="clear" w:color="auto" w:fill="7E9D40" w:themeFill="accent3" w:themeFillShade="cc"/>
      </w:tcPr>
    </w:tblStylePr>
    <w:tblStylePr w:type="lastRow">
      <w:rPr>
        <w:b/>
        <w:bCs/>
        <w:color w:val="7E9D4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ColorfulList-Accent5">
    <w:name w:val="Colorful List Accent 5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background1"/>
        </w:tcBorders>
        <w:shd w:val="clear" w:color="auto" w:fill="F3740B" w:themeFill="accent6" w:themeFillShade="cc"/>
      </w:tcPr>
    </w:tblStylePr>
    <w:tblStylePr w:type="lastRow">
      <w:rPr>
        <w:b/>
        <w:bCs/>
        <w:color w:val="F3740B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background1"/>
        </w:tcBorders>
        <w:shd w:val="clear" w:color="auto" w:fill="358EA6" w:themeFill="accent5" w:themeFillShade="cc"/>
      </w:tcPr>
    </w:tblStylePr>
    <w:tblStylePr w:type="lastRow">
      <w:rPr>
        <w:b/>
        <w:bCs/>
        <w:color w:val="358EA6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AD9" w:themeFill="accent6" w:themeFillTint="33"/>
      </w:tcPr>
    </w:tblStylePr>
  </w:style>
  <w:style w:type="table" w:styleId="ColorfulGrid">
    <w:name w:val="Colorful Grid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CBCBCB" w:themeFill="text1" w:themeFillTint="33"/>
    </w:tcPr>
    <w:tblStylePr w:type="firstRow">
      <w:rPr>
        <w:b/>
        <w:bCs/>
      </w:rPr>
      <w:tblPr/>
      <w:tcPr>
        <w:shd w:val="clear" w:color="auto" w:fill="989898" w:themeFill="text1" w:themeFillTint="66"/>
      </w:tcPr>
    </w:tblStylePr>
    <w:tblStylePr w:type="lastRow">
      <w:rPr>
        <w:b/>
        <w:bCs/>
        <w:color w:val="000000"/>
      </w:rPr>
      <w:tblPr/>
      <w:tcPr>
        <w:shd w:val="clear" w:color="auto" w:fill="989898" w:themeFill="text1" w:themeFillTint="66"/>
      </w:tcPr>
    </w:tblStylePr>
    <w:tblStylePr w:type="firstCol">
      <w:rPr>
        <w:color w:val="FFFFFF"/>
      </w:rPr>
      <w:tblPr/>
      <w:tcPr>
        <w:shd w:val="clear" w:color="auto" w:fill="000000" w:themeFill="text1" w:themeFillShade="bf"/>
      </w:tcPr>
    </w:tblStylePr>
    <w:tblStylePr w:type="lastCol">
      <w:rPr>
        <w:color w:val="FFFFFF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ColorfulGrid-Accent1">
    <w:name w:val="Colorful Grid Accent 1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/>
      </w:rPr>
      <w:tblPr/>
      <w:tcPr>
        <w:shd w:val="clear" w:color="auto" w:fill="B8CCE4" w:themeFill="accent1" w:themeFillTint="66"/>
      </w:tcPr>
    </w:tblStylePr>
    <w:tblStylePr w:type="firstCol">
      <w:rPr>
        <w:color w:val="FFFFFF"/>
      </w:rPr>
      <w:tblPr/>
      <w:tcPr>
        <w:shd w:val="clear" w:color="auto" w:fill="376092" w:themeFill="accent1" w:themeFillShade="bf"/>
      </w:tcPr>
    </w:tblStylePr>
    <w:tblStylePr w:type="lastCol">
      <w:rPr>
        <w:color w:val="FFFFFF"/>
      </w:rPr>
      <w:tblPr/>
      <w:tcPr>
        <w:shd w:val="clear" w:color="auto" w:fill="376092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ColorfulGrid-Accent2">
    <w:name w:val="Colorful Grid Accent 2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9B7" w:themeFill="accent2" w:themeFillTint="66"/>
      </w:tcPr>
    </w:tblStylePr>
    <w:tblStylePr w:type="lastRow">
      <w:rPr>
        <w:b/>
        <w:bCs/>
        <w:color w:val="000000"/>
      </w:rPr>
      <w:tblPr/>
      <w:tcPr>
        <w:shd w:val="clear" w:color="auto" w:fill="E5B9B7" w:themeFill="accent2" w:themeFillTint="66"/>
      </w:tcPr>
    </w:tblStylePr>
    <w:tblStylePr w:type="firstCol">
      <w:rPr>
        <w:color w:val="FFFFFF"/>
      </w:rPr>
      <w:tblPr/>
      <w:tcPr>
        <w:shd w:val="clear" w:color="auto" w:fill="953735" w:themeFill="accent2" w:themeFillShade="bf"/>
      </w:tcPr>
    </w:tblStylePr>
    <w:tblStylePr w:type="lastCol">
      <w:rPr>
        <w:color w:val="FFFFFF"/>
      </w:rPr>
      <w:tblPr/>
      <w:tcPr>
        <w:shd w:val="clear" w:color="auto" w:fill="953735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BF1DD" w:themeFill="accent3" w:themeFillTint="33"/>
    </w:tcPr>
    <w:tblStylePr w:type="firstRow">
      <w:rPr>
        <w:b/>
        <w:bCs/>
      </w:rPr>
      <w:tblPr/>
      <w:tcPr>
        <w:shd w:val="clear" w:color="auto" w:fill="D7E3BC" w:themeFill="accent3" w:themeFillTint="66"/>
      </w:tcPr>
    </w:tblStylePr>
    <w:tblStylePr w:type="lastRow">
      <w:rPr>
        <w:b/>
        <w:bCs/>
        <w:color w:val="000000"/>
      </w:rPr>
      <w:tblPr/>
      <w:tcPr>
        <w:shd w:val="clear" w:color="auto" w:fill="D7E3BC" w:themeFill="accent3" w:themeFillTint="66"/>
      </w:tcPr>
    </w:tblStylePr>
    <w:tblStylePr w:type="firstCol">
      <w:rPr>
        <w:color w:val="FFFFFF"/>
      </w:rPr>
      <w:tblPr/>
      <w:tcPr>
        <w:shd w:val="clear" w:color="auto" w:fill="76933C" w:themeFill="accent3" w:themeFillShade="bf"/>
      </w:tcPr>
    </w:tblStylePr>
    <w:tblStylePr w:type="lastCol">
      <w:rPr>
        <w:color w:val="FFFFFF"/>
      </w:rPr>
      <w:tblPr/>
      <w:tcPr>
        <w:shd w:val="clear" w:color="auto" w:fill="7693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5E0EC" w:themeFill="accent4" w:themeFillTint="33"/>
    </w:tcPr>
    <w:tblStylePr w:type="firstRow">
      <w:rPr>
        <w:b/>
        <w:bCs/>
      </w:rPr>
      <w:tblPr/>
      <w:tcPr>
        <w:shd w:val="clear" w:color="auto" w:fill="CCC1D9" w:themeFill="accent4" w:themeFillTint="66"/>
      </w:tcPr>
    </w:tblStylePr>
    <w:tblStylePr w:type="lastRow">
      <w:rPr>
        <w:b/>
        <w:bCs/>
        <w:color w:val="000000"/>
      </w:rPr>
      <w:tblPr/>
      <w:tcPr>
        <w:shd w:val="clear" w:color="auto" w:fill="CCC1D9" w:themeFill="accent4" w:themeFillTint="66"/>
      </w:tcPr>
    </w:tblStylePr>
    <w:tblStylePr w:type="firstCol">
      <w:rPr>
        <w:color w:val="FFFFFF"/>
      </w:rPr>
      <w:tblPr/>
      <w:tcPr>
        <w:shd w:val="clear" w:color="auto" w:fill="604A7B" w:themeFill="accent4" w:themeFillShade="bf"/>
      </w:tcPr>
    </w:tblStylePr>
    <w:tblStylePr w:type="lastCol">
      <w:rPr>
        <w:color w:val="FFFFFF"/>
      </w:rPr>
      <w:tblPr/>
      <w:tcPr>
        <w:shd w:val="clear" w:color="auto" w:fill="604A7B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7DDE8" w:themeFill="accent5" w:themeFillTint="66"/>
      </w:tcPr>
    </w:tblStylePr>
    <w:tblStylePr w:type="lastRow">
      <w:rPr>
        <w:b/>
        <w:bCs/>
        <w:color w:val="000000"/>
      </w:rPr>
      <w:tblPr/>
      <w:tcPr>
        <w:shd w:val="clear" w:color="auto" w:fill="B7DDE8" w:themeFill="accent5" w:themeFillTint="66"/>
      </w:tcPr>
    </w:tblStylePr>
    <w:tblStylePr w:type="firstCol">
      <w:rPr>
        <w:color w:val="FFFFFF"/>
      </w:rPr>
      <w:tblPr/>
      <w:tcPr>
        <w:shd w:val="clear" w:color="auto" w:fill="31859B" w:themeFill="accent5" w:themeFillShade="bf"/>
      </w:tcPr>
    </w:tblStylePr>
    <w:tblStylePr w:type="lastCol">
      <w:rPr>
        <w:color w:val="FFFFFF"/>
      </w:rPr>
      <w:tblPr/>
      <w:tcPr>
        <w:shd w:val="clear" w:color="auto" w:fill="3185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DEAD9" w:themeFill="accent6" w:themeFillTint="33"/>
    </w:tcPr>
    <w:tblStylePr w:type="firstRow">
      <w:rPr>
        <w:b/>
        <w:bCs/>
      </w:rPr>
      <w:tblPr/>
      <w:tcPr>
        <w:shd w:val="clear" w:color="auto" w:fill="FBD5B5" w:themeFill="accent6" w:themeFillTint="66"/>
      </w:tcPr>
    </w:tblStylePr>
    <w:tblStylePr w:type="lastRow">
      <w:rPr>
        <w:b/>
        <w:bCs/>
        <w:color w:val="000000"/>
      </w:rPr>
      <w:tblPr/>
      <w:tcPr>
        <w:shd w:val="clear" w:color="auto" w:fill="FBD5B5" w:themeFill="accent6" w:themeFillTint="66"/>
      </w:tcPr>
    </w:tblStylePr>
    <w:tblStylePr w:type="firstCol">
      <w:rPr>
        <w:color w:val="FFFFFF"/>
      </w:rPr>
      <w:tblPr/>
      <w:tcPr>
        <w:shd w:val="clear" w:color="auto" w:fill="E46C0A" w:themeFill="accent6" w:themeFillShade="bf"/>
      </w:tcPr>
    </w:tblStylePr>
    <w:tblStylePr w:type="lastCol">
      <w:rPr>
        <w:color w:val="FFFFFF"/>
      </w:rPr>
      <w:tblPr/>
      <w:tcPr>
        <w:shd w:val="clear" w:color="auto" w:fill="E4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1</cp:revision>
  <dcterms:created xsi:type="dcterms:W3CDTF">2013-12-23T23:15:00Z</dcterms:created>
  <dcterms:modified xsi:type="dcterms:W3CDTF">2026-06-17T00:20:39Z</dcterms:modified>
  <cp:version>1200.0100.01</cp:version>
</cp:coreProperties>
</file>